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09EB6" w14:textId="77777777" w:rsidR="0028771B" w:rsidRDefault="00000000">
      <w:pPr>
        <w:spacing w:line="360" w:lineRule="auto"/>
        <w:jc w:val="both"/>
        <w:rPr>
          <w:rFonts w:ascii="Times" w:hAnsi="Times"/>
          <w:b/>
          <w:sz w:val="20"/>
          <w:szCs w:val="20"/>
        </w:rPr>
      </w:pPr>
      <w:r>
        <w:rPr>
          <w:rFonts w:ascii="Times" w:hAnsi="Times"/>
          <w:b/>
          <w:sz w:val="20"/>
          <w:szCs w:val="20"/>
        </w:rPr>
        <w:t>Sulla clandestinità</w:t>
      </w:r>
    </w:p>
    <w:p w14:paraId="11C55328" w14:textId="77777777" w:rsidR="0028771B" w:rsidRDefault="00000000">
      <w:pPr>
        <w:spacing w:line="360" w:lineRule="auto"/>
        <w:jc w:val="both"/>
        <w:rPr>
          <w:rFonts w:ascii="Times" w:hAnsi="Times"/>
          <w:sz w:val="20"/>
          <w:szCs w:val="20"/>
        </w:rPr>
      </w:pPr>
      <w:r>
        <w:rPr>
          <w:rFonts w:ascii="Times" w:hAnsi="Times"/>
          <w:sz w:val="20"/>
          <w:szCs w:val="20"/>
        </w:rPr>
        <w:t xml:space="preserve">La terza condizione di adesione all’Internazionale comunista affermava la necessità di creare “un’organizzazione clandestina parallela che nel momento decisivo aiuterà il partito a fare il suo dovere per la rivoluzione”. </w:t>
      </w:r>
    </w:p>
    <w:p w14:paraId="5A13F15B" w14:textId="65BB4840" w:rsidR="0028771B" w:rsidRDefault="00000000">
      <w:pPr>
        <w:spacing w:line="360" w:lineRule="auto"/>
        <w:jc w:val="both"/>
        <w:rPr>
          <w:rFonts w:ascii="Times" w:hAnsi="Times"/>
          <w:sz w:val="20"/>
          <w:szCs w:val="20"/>
        </w:rPr>
      </w:pPr>
      <w:r>
        <w:rPr>
          <w:rFonts w:ascii="Times" w:hAnsi="Times"/>
          <w:sz w:val="20"/>
          <w:szCs w:val="20"/>
        </w:rPr>
        <w:t>Tuttavia, l’esperienza dei vari Gramsci, Thälmann (vedi Capitol</w:t>
      </w:r>
      <w:r w:rsidR="00B02C2D">
        <w:rPr>
          <w:rFonts w:ascii="Times" w:hAnsi="Times"/>
          <w:sz w:val="20"/>
          <w:szCs w:val="20"/>
        </w:rPr>
        <w:t>i</w:t>
      </w:r>
      <w:r>
        <w:rPr>
          <w:rFonts w:ascii="Times" w:hAnsi="Times"/>
          <w:sz w:val="20"/>
          <w:szCs w:val="20"/>
        </w:rPr>
        <w:t xml:space="preserve"> </w:t>
      </w:r>
      <w:r w:rsidR="00B02C2D">
        <w:rPr>
          <w:rFonts w:ascii="Times" w:hAnsi="Times"/>
          <w:sz w:val="20"/>
          <w:szCs w:val="20"/>
        </w:rPr>
        <w:t>5</w:t>
      </w:r>
      <w:r>
        <w:rPr>
          <w:rFonts w:ascii="Times" w:hAnsi="Times"/>
          <w:sz w:val="20"/>
          <w:szCs w:val="20"/>
        </w:rPr>
        <w:t xml:space="preserve"> e </w:t>
      </w:r>
      <w:r w:rsidR="00B02C2D">
        <w:rPr>
          <w:rFonts w:ascii="Times" w:hAnsi="Times"/>
          <w:sz w:val="20"/>
          <w:szCs w:val="20"/>
        </w:rPr>
        <w:t>6</w:t>
      </w:r>
      <w:r>
        <w:rPr>
          <w:rFonts w:ascii="Times" w:hAnsi="Times"/>
          <w:sz w:val="20"/>
          <w:szCs w:val="20"/>
        </w:rPr>
        <w:t xml:space="preserve">), così come quanto accaduto alla Luxemburg e </w:t>
      </w:r>
      <w:r w:rsidR="00CF5A75">
        <w:rPr>
          <w:rFonts w:ascii="Times" w:hAnsi="Times"/>
          <w:sz w:val="20"/>
          <w:szCs w:val="20"/>
        </w:rPr>
        <w:t xml:space="preserve">a </w:t>
      </w:r>
      <w:r>
        <w:rPr>
          <w:rFonts w:ascii="Times" w:hAnsi="Times"/>
          <w:sz w:val="20"/>
          <w:szCs w:val="20"/>
        </w:rPr>
        <w:t xml:space="preserve">Liebknecht, dimostrano che questa condizione è insufficiente. Lo Stato Maggiore deve essere clandestino perché la clandestinità non si improvvisa e perché il partito deve elaborare e applicare in piena autonomia la sua linea politica. Quest’ultima concezione della clandestinità fu, nei fatti, la linea applicata dallo stesso </w:t>
      </w:r>
      <w:r w:rsidR="00CF5A75">
        <w:rPr>
          <w:rFonts w:ascii="Times" w:hAnsi="Times"/>
          <w:sz w:val="20"/>
          <w:szCs w:val="20"/>
        </w:rPr>
        <w:t>p</w:t>
      </w:r>
      <w:r>
        <w:rPr>
          <w:rFonts w:ascii="Times" w:hAnsi="Times"/>
          <w:sz w:val="20"/>
          <w:szCs w:val="20"/>
        </w:rPr>
        <w:t>artito bolscevico (vedasi, ad esempio, i soggiorni di Lenin in Svizzera e poi, in piena crisi rivoluzionaria, in Finlandia), anche se nel movimento comunista internazionale continuò a persistere l’errata convinzione che in Russia i bolscevichi fossero stati “forzati” a tale misura dal regime autocratico.</w:t>
      </w:r>
    </w:p>
    <w:sectPr w:rsidR="0028771B">
      <w:pgSz w:w="11906" w:h="16838"/>
      <w:pgMar w:top="1417" w:right="1134" w:bottom="1134" w:left="1134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771B"/>
    <w:rsid w:val="001E1F87"/>
    <w:rsid w:val="00252D13"/>
    <w:rsid w:val="0028771B"/>
    <w:rsid w:val="00B02C2D"/>
    <w:rsid w:val="00CF5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9B241"/>
  <w15:docId w15:val="{C8E19E47-A2B6-4D52-A149-C49CDF6E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sz w:val="24"/>
        <w:szCs w:val="24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uiPriority w:val="10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dc:description/>
  <cp:lastModifiedBy>Lenovo</cp:lastModifiedBy>
  <cp:revision>9</cp:revision>
  <dcterms:created xsi:type="dcterms:W3CDTF">2025-03-10T15:22:00Z</dcterms:created>
  <dcterms:modified xsi:type="dcterms:W3CDTF">2025-10-11T15:00:00Z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